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4DF" w:rsidRDefault="00191671">
      <w:pPr>
        <w:pStyle w:val="a4"/>
      </w:pPr>
      <w:r>
        <w:t xml:space="preserve">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69032" cy="971682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469032" cy="97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</w:p>
    <w:p w:rsidR="00AA44DF" w:rsidRDefault="00AA44DF">
      <w:pPr>
        <w:pStyle w:val="a4"/>
      </w:pPr>
    </w:p>
    <w:p w:rsidR="00E46484" w:rsidRDefault="00191671">
      <w:pPr>
        <w:pStyle w:val="a4"/>
      </w:pPr>
      <w:r>
        <w:t xml:space="preserve">                                              </w:t>
      </w:r>
    </w:p>
    <w:p w:rsidR="00F71EFE" w:rsidRPr="00F71EFE" w:rsidRDefault="00191671" w:rsidP="00F71EFE">
      <w:pPr>
        <w:jc w:val="right"/>
        <w:rPr>
          <w:rFonts w:ascii="Tinos" w:hAnsi="Tinos" w:cs="Tinos"/>
          <w:b/>
          <w:bCs/>
          <w:sz w:val="32"/>
          <w:szCs w:val="32"/>
        </w:rPr>
      </w:pPr>
      <w:r>
        <w:rPr>
          <w:rFonts w:ascii="Tinos" w:eastAsia="Tinos" w:hAnsi="Tinos" w:cs="Tinos"/>
        </w:rPr>
        <w:tab/>
      </w:r>
      <w:r>
        <w:rPr>
          <w:rFonts w:ascii="Tinos" w:eastAsia="Tinos" w:hAnsi="Tinos" w:cs="Tinos"/>
          <w:b/>
          <w:bCs/>
          <w:sz w:val="32"/>
          <w:szCs w:val="32"/>
        </w:rPr>
        <w:t>ПРЕСС-РЕЛИЗ</w:t>
      </w:r>
    </w:p>
    <w:p w:rsidR="00F71EFE" w:rsidRDefault="00F71EFE" w:rsidP="006D2F53">
      <w:pPr>
        <w:ind w:firstLine="709"/>
        <w:jc w:val="both"/>
        <w:rPr>
          <w:rFonts w:eastAsia="Tahoma"/>
          <w:sz w:val="24"/>
          <w:szCs w:val="24"/>
        </w:rPr>
      </w:pPr>
    </w:p>
    <w:p w:rsidR="00F71EFE" w:rsidRDefault="00F71EFE" w:rsidP="006D2F53">
      <w:pPr>
        <w:ind w:firstLine="709"/>
        <w:jc w:val="both"/>
        <w:rPr>
          <w:rFonts w:eastAsia="Tahoma"/>
          <w:sz w:val="24"/>
          <w:szCs w:val="24"/>
        </w:rPr>
      </w:pPr>
    </w:p>
    <w:p w:rsidR="00F71EFE" w:rsidRDefault="00F71EFE" w:rsidP="008221A7">
      <w:pPr>
        <w:ind w:firstLine="709"/>
        <w:jc w:val="center"/>
        <w:rPr>
          <w:rFonts w:eastAsia="Tahoma"/>
          <w:sz w:val="24"/>
          <w:szCs w:val="24"/>
        </w:rPr>
      </w:pPr>
    </w:p>
    <w:p w:rsidR="00C964AB" w:rsidRPr="00A063A3" w:rsidRDefault="00C964AB" w:rsidP="00485E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center"/>
        <w:rPr>
          <w:sz w:val="23"/>
          <w:szCs w:val="23"/>
        </w:rPr>
      </w:pPr>
    </w:p>
    <w:p w:rsidR="00485EA7" w:rsidRDefault="00A063A3" w:rsidP="00485E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center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 xml:space="preserve">Исправление реестровых ошибок, допущенных в ходе комплексных </w:t>
      </w:r>
    </w:p>
    <w:p w:rsidR="00A063A3" w:rsidRDefault="00A063A3" w:rsidP="00485E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center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кадастровых работ</w:t>
      </w:r>
    </w:p>
    <w:p w:rsidR="00485EA7" w:rsidRPr="00485EA7" w:rsidRDefault="00485EA7" w:rsidP="00485E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center"/>
        <w:rPr>
          <w:b/>
          <w:bCs/>
          <w:sz w:val="24"/>
          <w:szCs w:val="24"/>
        </w:rPr>
      </w:pP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Реестровые ошибки, возникшие по итогам комплексных кадастровых работ (ККР), могут приводить к серьёзным правовым и практическим последствиям — от приостановки кадастрового учёта до споров о границах земельных участков и местоположении объектов недвижимости. Для их устранения законодательство РФ предусматривает специальный механизм, который применяется как в период гарантийных обязательств по контракту, так и после их истечения. Ключевым нормативным актом в этом вопросе выступает часть 9 статьи 42.6 Федерального закона от 24.07.2007 № 221</w:t>
      </w:r>
      <w:r w:rsidRPr="00485EA7">
        <w:rPr>
          <w:sz w:val="24"/>
          <w:szCs w:val="24"/>
        </w:rPr>
        <w:noBreakHyphen/>
        <w:t>ФЗ «О кадастровой деятельности».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Алгоритм исправления ошибки по части 9 ст. 42.6 Закона № 221</w:t>
      </w:r>
      <w:r w:rsidRPr="00485EA7">
        <w:rPr>
          <w:b/>
          <w:bCs/>
          <w:sz w:val="24"/>
          <w:szCs w:val="24"/>
        </w:rPr>
        <w:noBreakHyphen/>
        <w:t>ФЗ</w:t>
      </w: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Процедура устранения реестровой ошибки, содержащейся в карте</w:t>
      </w:r>
      <w:r w:rsidRPr="00485EA7">
        <w:rPr>
          <w:sz w:val="24"/>
          <w:szCs w:val="24"/>
        </w:rPr>
        <w:noBreakHyphen/>
        <w:t>плане территории (КПТР), реализуется в следующем порядке: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b/>
          <w:bCs/>
          <w:sz w:val="24"/>
          <w:szCs w:val="24"/>
        </w:rPr>
        <w:t>Выявление проблемы.</w:t>
      </w:r>
      <w:r w:rsidRPr="00485EA7">
        <w:rPr>
          <w:sz w:val="24"/>
          <w:szCs w:val="24"/>
        </w:rPr>
        <w:t xml:space="preserve"> Орган регистрации прав фиксирует ошибку и направляет уведомление о возврате документов без рассмотрения либо о приостановлении государственного кадастрового учёта (на основании ст. 19 Закона № 218</w:t>
      </w:r>
      <w:r w:rsidRPr="00485EA7">
        <w:rPr>
          <w:sz w:val="24"/>
          <w:szCs w:val="24"/>
        </w:rPr>
        <w:noBreakHyphen/>
        <w:t>ФЗ) либо выносит решение о необходимости исправления реестровой ошибки.</w:t>
      </w:r>
    </w:p>
    <w:p w:rsidR="00A063A3" w:rsidRPr="00485EA7" w:rsidRDefault="00A063A3" w:rsidP="00A063A3">
      <w:pPr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b/>
          <w:bCs/>
          <w:sz w:val="24"/>
          <w:szCs w:val="24"/>
        </w:rPr>
        <w:t>Информирование исполнителя.</w:t>
      </w:r>
      <w:r w:rsidRPr="00485EA7">
        <w:rPr>
          <w:sz w:val="24"/>
          <w:szCs w:val="24"/>
        </w:rPr>
        <w:t xml:space="preserve"> Заказчик ККР либо уполномоченный орган (местного самоуправления или субъекта РФ), направивший заявление, обязан в течение 5 рабочих дней со дня получения уведомления (решения) проинформировать исполнителя ККР. К сообщению прикладывается копия документа, ставшего основанием для приостановки учёта или возврата документов. Уведомление направляется по электронной почте исполнителя.</w:t>
      </w:r>
    </w:p>
    <w:p w:rsidR="00A063A3" w:rsidRDefault="00A063A3" w:rsidP="00A063A3">
      <w:pPr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b/>
          <w:bCs/>
          <w:sz w:val="24"/>
          <w:szCs w:val="24"/>
        </w:rPr>
        <w:t>Устранение ошибки.</w:t>
      </w:r>
      <w:r w:rsidRPr="00485EA7">
        <w:rPr>
          <w:sz w:val="24"/>
          <w:szCs w:val="24"/>
        </w:rPr>
        <w:t xml:space="preserve"> Исполнитель ККР обязан в срок не более 15 рабочих дней со дня получения информации подготовить новую КПТР, содержащую сведения, необходимые для устранения причин приостановки учёта либо для исправления выявленной реестровой ошибки.</w:t>
      </w:r>
    </w:p>
    <w:p w:rsidR="00485EA7" w:rsidRPr="00485EA7" w:rsidRDefault="00485EA7" w:rsidP="00485E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60"/>
        <w:contextualSpacing/>
        <w:jc w:val="both"/>
        <w:rPr>
          <w:sz w:val="24"/>
          <w:szCs w:val="24"/>
        </w:rPr>
      </w:pP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Важно, что подготовка КПТР для исправления ошибки не считается повторным выполнением ККР — даже если работы проводятся в рамках гарантийных обязательств.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Согласование уточнённых границ</w:t>
      </w: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Если в ходе устранения ошибки уточняется местоположение границ земельных участков, такое уточнение подлежит обязательному согласованию согласительной комиссией. Порядок согласования регламентирован статьёй 42.10 Закона № 221</w:t>
      </w:r>
      <w:r w:rsidRPr="00485EA7">
        <w:rPr>
          <w:sz w:val="24"/>
          <w:szCs w:val="24"/>
        </w:rPr>
        <w:noBreakHyphen/>
        <w:t>ФЗ. При этом законодательство не устанавливает жёстких сроков для проведения согласования и утверждения КПТР в рамках исправления реестровых ошибок: продолжительность процесса зависит от оперативности работы комиссии и готовности заинтересованных сторон участвовать в согласовании.</w:t>
      </w:r>
    </w:p>
    <w:p w:rsid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</w:p>
    <w:p w:rsid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Действие механизма после истечения гарантийного срока</w:t>
      </w: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Механизм, предусмотренный частью 9 ст. 42.6 Закона № 221</w:t>
      </w:r>
      <w:r w:rsidRPr="00485EA7">
        <w:rPr>
          <w:sz w:val="24"/>
          <w:szCs w:val="24"/>
        </w:rPr>
        <w:noBreakHyphen/>
        <w:t>ФЗ, не привязан к гарантийным обязательствам по договору подряда. Это подтверждается позицией контролирующих органов и сложившейся правоприменительной практикой. Соответственно:</w:t>
      </w:r>
    </w:p>
    <w:p w:rsidR="00A063A3" w:rsidRPr="00485EA7" w:rsidRDefault="00A063A3" w:rsidP="00A063A3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исполнитель обязан устранить ошибку в 15</w:t>
      </w:r>
      <w:r w:rsidRPr="00485EA7">
        <w:rPr>
          <w:sz w:val="24"/>
          <w:szCs w:val="24"/>
        </w:rPr>
        <w:noBreakHyphen/>
        <w:t>дневный срок независимо от того, действует ли ещё гарантия по контракту;</w:t>
      </w:r>
    </w:p>
    <w:p w:rsidR="00A063A3" w:rsidRPr="00485EA7" w:rsidRDefault="00A063A3" w:rsidP="00A063A3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основанием для действий служит не договор, а прямая норма закона, возлагающая на исполнителя обязанность по исправлению ошибок, выявленных в КПТР.</w:t>
      </w: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Таким образом, истечение гарантийного срока не освобождает исполнителя ККР от обязанности исправить реестровую ошибку, если она обнаружена позже.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Роль заинтересованных лиц</w:t>
      </w: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Заинтересованные лица (собственники, арендаторы и иные правообладатели) не вправе напрямую предъявлять претензии исполнителю ККР: законодательство не предусматривает такой процедуры. Однако при обнаружении возможной реестровой ошибки заинтересованное лицо может направить в орган регистрации прав информацию о её наличии. Если факт ошибки подтверждается, её устранение происходит в порядке, установленном частью 9 ст. 42.6 Закона № 221</w:t>
      </w:r>
      <w:r w:rsidRPr="00485EA7">
        <w:rPr>
          <w:sz w:val="24"/>
          <w:szCs w:val="24"/>
        </w:rPr>
        <w:noBreakHyphen/>
        <w:t>ФЗ: через уведомление заказчика/уполномоченного органа и последующее взаимодействие с исполнителем.</w:t>
      </w: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Сведения о сторонах контракта на выполнение ККР (включая контактные данные) публикуются в извещении о начале работ. Это позволяет заинтересованным лицам определить ответственных за ККР и понимать, к кому обращаться при возникновении вопросов.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b/>
          <w:bCs/>
          <w:sz w:val="24"/>
          <w:szCs w:val="24"/>
        </w:rPr>
      </w:pPr>
      <w:r w:rsidRPr="00485EA7">
        <w:rPr>
          <w:b/>
          <w:bCs/>
          <w:sz w:val="24"/>
          <w:szCs w:val="24"/>
        </w:rPr>
        <w:t>Альтернативный способ исправления ошибки</w:t>
      </w: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Помимо механизма через КПТР, реестровая ошибка, возникшая при ККР, может быть исправлена на основании межевого плана или технического плана, подготовленного уполномоченным лицом (в соответствии со ст. 15 Закона № 218</w:t>
      </w:r>
      <w:r w:rsidRPr="00485EA7">
        <w:rPr>
          <w:sz w:val="24"/>
          <w:szCs w:val="24"/>
        </w:rPr>
        <w:noBreakHyphen/>
        <w:t>ФЗ). Закон № 218</w:t>
      </w:r>
      <w:r w:rsidRPr="00485EA7">
        <w:rPr>
          <w:sz w:val="24"/>
          <w:szCs w:val="24"/>
        </w:rPr>
        <w:noBreakHyphen/>
        <w:t>ФЗ не запрещает такой способ исправления, в том числе если ошибка была допущена в ходе ККР.</w:t>
      </w:r>
    </w:p>
    <w:p w:rsidR="00A063A3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При этом основанием для приостановки учёта может стать несоответствие формы или содержания представленного документа требованиям законодательства (п. 7 ч. 1 ст. 26 Закона № 218</w:t>
      </w:r>
      <w:r w:rsidRPr="00485EA7">
        <w:rPr>
          <w:sz w:val="24"/>
          <w:szCs w:val="24"/>
        </w:rPr>
        <w:noBreakHyphen/>
        <w:t>ФЗ). Поэтому при подготовке межевого или технического плана важно строго соблюдать действующие требования к оформлению и составу сведений.</w:t>
      </w:r>
    </w:p>
    <w:p w:rsidR="00485EA7" w:rsidRPr="00485EA7" w:rsidRDefault="00485EA7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</w:p>
    <w:p w:rsidR="00A063A3" w:rsidRPr="00485EA7" w:rsidRDefault="00A063A3" w:rsidP="00A06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В 2026 году комплексные кадастровые работы федерального значения</w:t>
      </w:r>
      <w:r w:rsidR="0039223D">
        <w:rPr>
          <w:sz w:val="24"/>
          <w:szCs w:val="24"/>
        </w:rPr>
        <w:t xml:space="preserve"> в Еврейской автономной области</w:t>
      </w:r>
      <w:bookmarkStart w:id="0" w:name="_GoBack"/>
      <w:bookmarkEnd w:id="0"/>
      <w:r w:rsidRPr="00485EA7">
        <w:rPr>
          <w:sz w:val="24"/>
          <w:szCs w:val="24"/>
        </w:rPr>
        <w:t xml:space="preserve"> проводятся на территории 41 кадастрового квартала, в том числе:</w:t>
      </w:r>
    </w:p>
    <w:p w:rsidR="00A063A3" w:rsidRPr="00485EA7" w:rsidRDefault="00A063A3" w:rsidP="00A063A3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9 кварталов — в городе Биробиджан;</w:t>
      </w:r>
    </w:p>
    <w:p w:rsidR="00A063A3" w:rsidRPr="00485EA7" w:rsidRDefault="00A063A3" w:rsidP="00A063A3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15 кварталов — в городе Облучье;</w:t>
      </w:r>
    </w:p>
    <w:p w:rsidR="003D665F" w:rsidRPr="00485EA7" w:rsidRDefault="00A063A3" w:rsidP="00485EA7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4"/>
          <w:szCs w:val="24"/>
        </w:rPr>
      </w:pPr>
      <w:r w:rsidRPr="00485EA7">
        <w:rPr>
          <w:sz w:val="24"/>
          <w:szCs w:val="24"/>
        </w:rPr>
        <w:t>17 кварталов — в посёлке Смидович.</w:t>
      </w:r>
    </w:p>
    <w:p w:rsidR="003D665F" w:rsidRPr="00C964AB" w:rsidRDefault="003D665F" w:rsidP="00C964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2"/>
          <w:szCs w:val="22"/>
        </w:rPr>
      </w:pPr>
    </w:p>
    <w:p w:rsidR="00593F23" w:rsidRDefault="00593F23" w:rsidP="001916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2"/>
          <w:szCs w:val="22"/>
        </w:rPr>
      </w:pPr>
    </w:p>
    <w:p w:rsidR="00A85806" w:rsidRPr="0001623D" w:rsidRDefault="00A85806" w:rsidP="001916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sz w:val="22"/>
          <w:szCs w:val="22"/>
        </w:rPr>
      </w:pPr>
    </w:p>
    <w:p w:rsidR="00E46484" w:rsidRDefault="00191671">
      <w:pPr>
        <w:tabs>
          <w:tab w:val="left" w:pos="1458"/>
        </w:tabs>
        <w:ind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Calibri" w:hAnsi="Calibri" w:cs="Calibri"/>
          <w:b/>
          <w:bCs/>
        </w:rPr>
        <w:t>Об Управлении Росреестра по Еврейской автономной области</w:t>
      </w:r>
    </w:p>
    <w:p w:rsidR="00E46484" w:rsidRDefault="0019167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Управление Федеральной службы государственной регистрации, кадастра и картографии по Еврейской автономной области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государственного кадастрового учета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191671" w:rsidRDefault="00191671">
      <w:pPr>
        <w:jc w:val="both"/>
        <w:rPr>
          <w:rFonts w:ascii="Calibri" w:hAnsi="Calibri" w:cs="Calibri"/>
        </w:rPr>
      </w:pPr>
    </w:p>
    <w:p w:rsidR="00E46484" w:rsidRPr="00191671" w:rsidRDefault="0019167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Руководителем Управления Росреестра по Еврейской автономной области является Зуева Светлана Евгеньевна.</w:t>
      </w:r>
    </w:p>
    <w:p w:rsidR="00E46484" w:rsidRDefault="0019167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https://rosreestr.gov.ru  </w:t>
      </w:r>
    </w:p>
    <w:p w:rsidR="00311C83" w:rsidRDefault="00311C83">
      <w:pPr>
        <w:rPr>
          <w:rFonts w:ascii="Calibri" w:hAnsi="Calibri" w:cs="Calibri"/>
          <w:b/>
          <w:bCs/>
        </w:rPr>
      </w:pP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Наша страница в социальных сетях: Управление Росреестра по Еврейской АО </w:t>
      </w:r>
      <w:hyperlink r:id="rId9" w:history="1">
        <w:r w:rsidR="00A85806" w:rsidRPr="00F64486">
          <w:rPr>
            <w:rStyle w:val="af1"/>
            <w:rFonts w:ascii="Calibri" w:hAnsi="Calibri" w:cs="Calibri"/>
          </w:rPr>
          <w:t>https://vk.com/public211690935</w:t>
        </w:r>
      </w:hyperlink>
      <w:r>
        <w:rPr>
          <w:rFonts w:ascii="Calibri" w:hAnsi="Calibri" w:cs="Calibri"/>
        </w:rPr>
        <w:t xml:space="preserve"> , </w:t>
      </w:r>
    </w:p>
    <w:p w:rsidR="00E46484" w:rsidRPr="00191671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                                                                                                                                                   </w:t>
      </w:r>
      <w:hyperlink r:id="rId10" w:tooltip="https://ok.ru/profile/589219754402" w:history="1">
        <w:r>
          <w:rPr>
            <w:rStyle w:val="af1"/>
            <w:rFonts w:ascii="Calibri" w:hAnsi="Calibri" w:cs="Calibri"/>
          </w:rPr>
          <w:t>https://ok.ru/profile/589219754402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Контакты для СМИ</w:t>
      </w: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>Отдел организации, мониторинга и контроля, правового обеспечения,</w:t>
      </w: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>защиты государственной тайны и мобилизационной подготовки,</w:t>
      </w: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службы и кадров, контроля и надзора в сфере саморегулируемых организаций</w:t>
      </w: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тел.: 8(42622)21773 электронная почта: </w:t>
      </w:r>
      <w:hyperlink r:id="rId11" w:tooltip="mailto:79_upr@rosreestr.ru" w:history="1">
        <w:r>
          <w:rPr>
            <w:rStyle w:val="af1"/>
            <w:rFonts w:ascii="Calibri" w:hAnsi="Calibri" w:cs="Calibri"/>
          </w:rPr>
          <w:t>79_</w:t>
        </w:r>
        <w:r>
          <w:rPr>
            <w:rStyle w:val="af1"/>
            <w:rFonts w:ascii="Calibri" w:hAnsi="Calibri" w:cs="Calibri"/>
            <w:lang w:val="en-US"/>
          </w:rPr>
          <w:t>upr</w:t>
        </w:r>
        <w:r>
          <w:rPr>
            <w:rStyle w:val="af1"/>
            <w:rFonts w:ascii="Calibri" w:hAnsi="Calibri" w:cs="Calibri"/>
          </w:rPr>
          <w:t>@</w:t>
        </w:r>
        <w:r>
          <w:rPr>
            <w:rStyle w:val="af1"/>
            <w:rFonts w:ascii="Calibri" w:hAnsi="Calibri" w:cs="Calibri"/>
            <w:lang w:val="en-US"/>
          </w:rPr>
          <w:t>rosreestr</w:t>
        </w:r>
        <w:r>
          <w:rPr>
            <w:rStyle w:val="af1"/>
            <w:rFonts w:ascii="Calibri" w:hAnsi="Calibri" w:cs="Calibri"/>
          </w:rPr>
          <w:t>.</w:t>
        </w:r>
        <w:r>
          <w:rPr>
            <w:rStyle w:val="af1"/>
            <w:rFonts w:ascii="Calibri" w:hAnsi="Calibri" w:cs="Calibri"/>
            <w:lang w:val="en-US"/>
          </w:rPr>
          <w:t>ru</w:t>
        </w:r>
      </w:hyperlink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</w:rPr>
        <w:t>679016, г. Биробиджан, пр. 60-летия СССР, 26</w:t>
      </w:r>
    </w:p>
    <w:p w:rsidR="00E46484" w:rsidRDefault="0019167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210570" cy="1210570"/>
            <wp:effectExtent l="0" t="0" r="0" b="0"/>
            <wp:docPr id="2" name="_x0000_i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1210570" cy="121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drawing>
          <wp:inline distT="0" distB="0" distL="0" distR="0">
            <wp:extent cx="1209675" cy="1209675"/>
            <wp:effectExtent l="0" t="0" r="0" b="0"/>
            <wp:docPr id="3" name="_x0000_i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6484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EF3" w:rsidRDefault="00046EF3">
      <w:r>
        <w:separator/>
      </w:r>
    </w:p>
  </w:endnote>
  <w:endnote w:type="continuationSeparator" w:id="0">
    <w:p w:rsidR="00046EF3" w:rsidRDefault="0004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EF3" w:rsidRDefault="00046EF3">
      <w:r>
        <w:separator/>
      </w:r>
    </w:p>
  </w:footnote>
  <w:footnote w:type="continuationSeparator" w:id="0">
    <w:p w:rsidR="00046EF3" w:rsidRDefault="00046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F4B77"/>
    <w:multiLevelType w:val="hybridMultilevel"/>
    <w:tmpl w:val="9B744D0C"/>
    <w:lvl w:ilvl="0" w:tplc="2E7EEC2A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9BB85F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9F01B8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60560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7E249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CE484B0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D42B7A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72E88B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B70E63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9896F73"/>
    <w:multiLevelType w:val="hybridMultilevel"/>
    <w:tmpl w:val="E218555A"/>
    <w:lvl w:ilvl="0" w:tplc="D3168244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05FAA0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996C339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56251A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E7290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EC867D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898BF1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E923F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2454132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44C4BCC"/>
    <w:multiLevelType w:val="hybridMultilevel"/>
    <w:tmpl w:val="18F4CFBC"/>
    <w:lvl w:ilvl="0" w:tplc="F5CA06A6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6E90085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 w:tplc="76449FAE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41D4EEE8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F4227DD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 w:tplc="571C213A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220EECAA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F108482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 w:tplc="98F0990A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 w15:restartNumberingAfterBreak="0">
    <w:nsid w:val="1C3143F3"/>
    <w:multiLevelType w:val="hybridMultilevel"/>
    <w:tmpl w:val="0B3A3130"/>
    <w:lvl w:ilvl="0" w:tplc="5B589A1C">
      <w:start w:val="1"/>
      <w:numFmt w:val="bullet"/>
      <w:lvlText w:val=""/>
      <w:lvlJc w:val="left"/>
      <w:pPr>
        <w:ind w:left="862" w:hanging="360"/>
      </w:pPr>
      <w:rPr>
        <w:rFonts w:ascii="Symbol" w:hAnsi="Symbol"/>
      </w:rPr>
    </w:lvl>
    <w:lvl w:ilvl="1" w:tplc="B16875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13A16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5BEAE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78C7B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3085FA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D8C904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17CFC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68E44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FCE6B24"/>
    <w:multiLevelType w:val="hybridMultilevel"/>
    <w:tmpl w:val="3D845632"/>
    <w:lvl w:ilvl="0" w:tplc="57246A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8AC85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710D0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B7EA0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6ECF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99656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23CCE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98018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76A7F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FD84D7A"/>
    <w:multiLevelType w:val="multilevel"/>
    <w:tmpl w:val="288AA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1568E"/>
    <w:multiLevelType w:val="hybridMultilevel"/>
    <w:tmpl w:val="C150A3A4"/>
    <w:lvl w:ilvl="0" w:tplc="58BA46F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F60CDDB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77DA80F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9D5656B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3126E2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43A93D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5A4473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C664B0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304DFC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9392D3D"/>
    <w:multiLevelType w:val="hybridMultilevel"/>
    <w:tmpl w:val="54E4492E"/>
    <w:lvl w:ilvl="0" w:tplc="BF607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BAA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07E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EEF6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27C88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A6204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0E7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99694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A624F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12E01"/>
    <w:multiLevelType w:val="hybridMultilevel"/>
    <w:tmpl w:val="4AB2E536"/>
    <w:lvl w:ilvl="0" w:tplc="D73E0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8FAD63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978A16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B7A569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C36E99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4C13C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5005C2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09814B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E2B78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D45FDE"/>
    <w:multiLevelType w:val="multilevel"/>
    <w:tmpl w:val="23BE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1875F2"/>
    <w:multiLevelType w:val="hybridMultilevel"/>
    <w:tmpl w:val="134EDE22"/>
    <w:lvl w:ilvl="0" w:tplc="3AB0D4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7520FD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F9E0A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EE646A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AE4AF4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209E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5649F5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D0EC7D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AAACC5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82A3C03"/>
    <w:multiLevelType w:val="hybridMultilevel"/>
    <w:tmpl w:val="F26CBE2A"/>
    <w:lvl w:ilvl="0" w:tplc="D8220F78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</w:lvl>
    <w:lvl w:ilvl="1" w:tplc="EA1845D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64EBD2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3D26E5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DA8B1D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D10714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50E4AE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AE0D8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E902C3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834C96"/>
    <w:multiLevelType w:val="hybridMultilevel"/>
    <w:tmpl w:val="A83A6DCA"/>
    <w:lvl w:ilvl="0" w:tplc="676886C4">
      <w:start w:val="1"/>
      <w:numFmt w:val="decimal"/>
      <w:lvlText w:val="%1."/>
      <w:lvlJc w:val="left"/>
      <w:pPr>
        <w:ind w:left="1417" w:hanging="360"/>
      </w:pPr>
    </w:lvl>
    <w:lvl w:ilvl="1" w:tplc="A1641E38">
      <w:start w:val="1"/>
      <w:numFmt w:val="lowerLetter"/>
      <w:lvlText w:val="%2."/>
      <w:lvlJc w:val="left"/>
      <w:pPr>
        <w:ind w:left="2137" w:hanging="360"/>
      </w:pPr>
    </w:lvl>
    <w:lvl w:ilvl="2" w:tplc="C06C6552">
      <w:start w:val="1"/>
      <w:numFmt w:val="lowerRoman"/>
      <w:lvlText w:val="%3."/>
      <w:lvlJc w:val="right"/>
      <w:pPr>
        <w:ind w:left="2857" w:hanging="180"/>
      </w:pPr>
    </w:lvl>
    <w:lvl w:ilvl="3" w:tplc="60ACFA38">
      <w:start w:val="1"/>
      <w:numFmt w:val="decimal"/>
      <w:lvlText w:val="%4."/>
      <w:lvlJc w:val="left"/>
      <w:pPr>
        <w:ind w:left="3577" w:hanging="360"/>
      </w:pPr>
    </w:lvl>
    <w:lvl w:ilvl="4" w:tplc="C36CAC08">
      <w:start w:val="1"/>
      <w:numFmt w:val="lowerLetter"/>
      <w:lvlText w:val="%5."/>
      <w:lvlJc w:val="left"/>
      <w:pPr>
        <w:ind w:left="4297" w:hanging="360"/>
      </w:pPr>
    </w:lvl>
    <w:lvl w:ilvl="5" w:tplc="1C3C9E74">
      <w:start w:val="1"/>
      <w:numFmt w:val="lowerRoman"/>
      <w:lvlText w:val="%6."/>
      <w:lvlJc w:val="right"/>
      <w:pPr>
        <w:ind w:left="5017" w:hanging="180"/>
      </w:pPr>
    </w:lvl>
    <w:lvl w:ilvl="6" w:tplc="394A4DEE">
      <w:start w:val="1"/>
      <w:numFmt w:val="decimal"/>
      <w:lvlText w:val="%7."/>
      <w:lvlJc w:val="left"/>
      <w:pPr>
        <w:ind w:left="5737" w:hanging="360"/>
      </w:pPr>
    </w:lvl>
    <w:lvl w:ilvl="7" w:tplc="3624697E">
      <w:start w:val="1"/>
      <w:numFmt w:val="lowerLetter"/>
      <w:lvlText w:val="%8."/>
      <w:lvlJc w:val="left"/>
      <w:pPr>
        <w:ind w:left="6457" w:hanging="360"/>
      </w:pPr>
    </w:lvl>
    <w:lvl w:ilvl="8" w:tplc="6B66BEE8">
      <w:start w:val="1"/>
      <w:numFmt w:val="lowerRoman"/>
      <w:lvlText w:val="%9."/>
      <w:lvlJc w:val="right"/>
      <w:pPr>
        <w:ind w:left="7177" w:hanging="180"/>
      </w:pPr>
    </w:lvl>
  </w:abstractNum>
  <w:abstractNum w:abstractNumId="13" w15:restartNumberingAfterBreak="0">
    <w:nsid w:val="4E1C4AC8"/>
    <w:multiLevelType w:val="multilevel"/>
    <w:tmpl w:val="47DC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E770C5"/>
    <w:multiLevelType w:val="hybridMultilevel"/>
    <w:tmpl w:val="0B421CA2"/>
    <w:lvl w:ilvl="0" w:tplc="B674018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A9A6F87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964ED470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6E0AEB80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50BA7B2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3E92D4DC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9D567A9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EDF69C74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BCDAB23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CD4507A"/>
    <w:multiLevelType w:val="hybridMultilevel"/>
    <w:tmpl w:val="4D46C97C"/>
    <w:lvl w:ilvl="0" w:tplc="2FF6635E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74100D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FE2E45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DA050E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476456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C8AE73F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810F15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8F643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8F01D9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73555C6E"/>
    <w:multiLevelType w:val="hybridMultilevel"/>
    <w:tmpl w:val="6422C31E"/>
    <w:lvl w:ilvl="0" w:tplc="DBA869C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 w:tplc="012430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120C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7E54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4AE3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6865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C455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74DB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CCFF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88904EB"/>
    <w:multiLevelType w:val="hybridMultilevel"/>
    <w:tmpl w:val="996E7AD4"/>
    <w:lvl w:ilvl="0" w:tplc="A306A87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1F00A6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9222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7C6A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7AA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8446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B65A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B4C5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5A70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9C2679E"/>
    <w:multiLevelType w:val="hybridMultilevel"/>
    <w:tmpl w:val="A9AA52C0"/>
    <w:lvl w:ilvl="0" w:tplc="E1D0A6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D78F6B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B36C0D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76CD31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7103A8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43EDFE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BA42D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0DE504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D22326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CB1583C"/>
    <w:multiLevelType w:val="hybridMultilevel"/>
    <w:tmpl w:val="8F1A425C"/>
    <w:lvl w:ilvl="0" w:tplc="283CD98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1D828C00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884686E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2EF6174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3C4A08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D1AE8F1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FAD8F6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90E643F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36AFBC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18"/>
  </w:num>
  <w:num w:numId="5">
    <w:abstractNumId w:val="16"/>
  </w:num>
  <w:num w:numId="6">
    <w:abstractNumId w:val="4"/>
  </w:num>
  <w:num w:numId="7">
    <w:abstractNumId w:val="17"/>
  </w:num>
  <w:num w:numId="8">
    <w:abstractNumId w:val="0"/>
  </w:num>
  <w:num w:numId="9">
    <w:abstractNumId w:val="15"/>
  </w:num>
  <w:num w:numId="10">
    <w:abstractNumId w:val="2"/>
  </w:num>
  <w:num w:numId="11">
    <w:abstractNumId w:val="3"/>
  </w:num>
  <w:num w:numId="12">
    <w:abstractNumId w:val="1"/>
  </w:num>
  <w:num w:numId="13">
    <w:abstractNumId w:val="6"/>
  </w:num>
  <w:num w:numId="14">
    <w:abstractNumId w:val="19"/>
  </w:num>
  <w:num w:numId="15">
    <w:abstractNumId w:val="12"/>
  </w:num>
  <w:num w:numId="16">
    <w:abstractNumId w:val="14"/>
  </w:num>
  <w:num w:numId="17">
    <w:abstractNumId w:val="7"/>
  </w:num>
  <w:num w:numId="18">
    <w:abstractNumId w:val="5"/>
  </w:num>
  <w:num w:numId="19">
    <w:abstractNumId w:val="1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84"/>
    <w:rsid w:val="00006CD8"/>
    <w:rsid w:val="0001623D"/>
    <w:rsid w:val="00046EF3"/>
    <w:rsid w:val="000572E8"/>
    <w:rsid w:val="000A1D50"/>
    <w:rsid w:val="000B743A"/>
    <w:rsid w:val="0011361F"/>
    <w:rsid w:val="00151F2B"/>
    <w:rsid w:val="00165E71"/>
    <w:rsid w:val="00175CA8"/>
    <w:rsid w:val="00191671"/>
    <w:rsid w:val="00276AC8"/>
    <w:rsid w:val="002C469C"/>
    <w:rsid w:val="002F1B47"/>
    <w:rsid w:val="00311C83"/>
    <w:rsid w:val="00333F42"/>
    <w:rsid w:val="003643F1"/>
    <w:rsid w:val="00383D3F"/>
    <w:rsid w:val="0039223D"/>
    <w:rsid w:val="003D665F"/>
    <w:rsid w:val="004224AF"/>
    <w:rsid w:val="0043452B"/>
    <w:rsid w:val="00481201"/>
    <w:rsid w:val="00485EA7"/>
    <w:rsid w:val="00516452"/>
    <w:rsid w:val="00584009"/>
    <w:rsid w:val="00593F23"/>
    <w:rsid w:val="005B0A56"/>
    <w:rsid w:val="005C1A2C"/>
    <w:rsid w:val="005F7CDA"/>
    <w:rsid w:val="006367B0"/>
    <w:rsid w:val="006458A8"/>
    <w:rsid w:val="006976EF"/>
    <w:rsid w:val="006D2F53"/>
    <w:rsid w:val="007267F1"/>
    <w:rsid w:val="008221A7"/>
    <w:rsid w:val="008939DC"/>
    <w:rsid w:val="00912000"/>
    <w:rsid w:val="009212DB"/>
    <w:rsid w:val="00A063A3"/>
    <w:rsid w:val="00A2630A"/>
    <w:rsid w:val="00A44B5F"/>
    <w:rsid w:val="00A77289"/>
    <w:rsid w:val="00A85806"/>
    <w:rsid w:val="00AA44DF"/>
    <w:rsid w:val="00BE53EE"/>
    <w:rsid w:val="00BE5F57"/>
    <w:rsid w:val="00C964AB"/>
    <w:rsid w:val="00CE515E"/>
    <w:rsid w:val="00DF3A5F"/>
    <w:rsid w:val="00E0448B"/>
    <w:rsid w:val="00E46484"/>
    <w:rsid w:val="00EB6C18"/>
    <w:rsid w:val="00ED786C"/>
    <w:rsid w:val="00F1743C"/>
    <w:rsid w:val="00F71EFE"/>
    <w:rsid w:val="00F92EC8"/>
    <w:rsid w:val="00FE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73DF"/>
  <w15:docId w15:val="{5B044299-0CE5-4EC0-AB05-F4B237E3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  <w:lang w:eastAsia="ru-RU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Emphasis"/>
    <w:uiPriority w:val="20"/>
    <w:qFormat/>
    <w:rPr>
      <w:i/>
      <w:iCs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dd-postheadericon">
    <w:name w:val="dd-postheadericon"/>
  </w:style>
  <w:style w:type="character" w:styleId="afd">
    <w:name w:val="Strong"/>
    <w:uiPriority w:val="22"/>
    <w:qFormat/>
    <w:rPr>
      <w:b/>
      <w:bCs/>
    </w:rPr>
  </w:style>
  <w:style w:type="character" w:styleId="afe">
    <w:name w:val="FollowedHyperlink"/>
    <w:basedOn w:val="a0"/>
    <w:uiPriority w:val="99"/>
    <w:semiHidden/>
    <w:unhideWhenUsed/>
    <w:rsid w:val="00A263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79_upr@rosreest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profile/5892197544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2116909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E85CE-DC07-42B8-AEA9-C987A468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</vt:lpstr>
    </vt:vector>
  </TitlesOfParts>
  <Company>Who Gives A Fuck?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</dc:title>
  <dc:creator>Жуков</dc:creator>
  <cp:lastModifiedBy>Желейко Надежда Анатольевна</cp:lastModifiedBy>
  <cp:revision>38</cp:revision>
  <cp:lastPrinted>2026-09-30T04:14:00Z</cp:lastPrinted>
  <dcterms:created xsi:type="dcterms:W3CDTF">2026-02-10T07:26:00Z</dcterms:created>
  <dcterms:modified xsi:type="dcterms:W3CDTF">2026-11-03T06:26:00Z</dcterms:modified>
  <cp:version>1048576</cp:version>
</cp:coreProperties>
</file>